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FF8" w:rsidRPr="00B67FF8" w:rsidRDefault="00B67FF8" w:rsidP="00B67FF8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67F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Практика 26</w:t>
      </w:r>
    </w:p>
    <w:p w:rsidR="00B67FF8" w:rsidRDefault="00B67FF8" w:rsidP="00B67FF8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67FF8" w:rsidRPr="00B42C43" w:rsidRDefault="008741FB" w:rsidP="00B67FF8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Pr="00B42C4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асчет сгустителей водопроводных осадков </w:t>
      </w:r>
    </w:p>
    <w:bookmarkEnd w:id="0"/>
    <w:p w:rsidR="00B67FF8" w:rsidRPr="00FB5FC7" w:rsidRDefault="00B67FF8" w:rsidP="00B67FF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67FF8" w:rsidRPr="00F33600" w:rsidRDefault="00B67FF8" w:rsidP="00B67FF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Сгустители с медленным механическим перемешиванием применяются для ускорения уплотнения осадка из горизонтальных и вертикальных отстойников, осветлителей, 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реагентного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хозяйства и осадка из отстойников промывных вод на станциях </w:t>
      </w:r>
      <w:bookmarkStart w:id="1" w:name="OCRUncertain212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водоподготовки</w:t>
      </w:r>
      <w:bookmarkEnd w:id="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среднегодовой мутности исходной воды до 300 мг/л.</w:t>
      </w:r>
    </w:p>
    <w:p w:rsidR="00B67FF8" w:rsidRPr="00F33600" w:rsidRDefault="00B67FF8" w:rsidP="00B67FF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сгустителей на</w:t>
      </w:r>
      <w:bookmarkStart w:id="2" w:name="OCRUncertain212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bookmarkEnd w:id="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лежит принимать сооружения диаметром – до 18 м; средней рабочей глубиной – не менее 3,5 </w:t>
      </w:r>
      <w:bookmarkStart w:id="3" w:name="OCRUncertain213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м;</w:t>
      </w:r>
      <w:bookmarkEnd w:id="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уклоном дна к центральному приямку – 8°; и с вращающейся фермой – с вертикал</w:t>
      </w:r>
      <w:bookmarkStart w:id="4" w:name="OCRUncertain2131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bookmarkEnd w:id="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ными лопастями треугольного или круглого сечения и скребками для перемещения уплотненного осадка к центральному приямку.</w:t>
      </w:r>
    </w:p>
    <w:p w:rsidR="00B67FF8" w:rsidRPr="00F33600" w:rsidRDefault="00B67FF8" w:rsidP="00B67FF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Продолжительность цикла сгущения осадка следует определять по общей длительности следующих операций: наполнения сгустителя – от 10 до 30 мин в зависимости от длительности удаления осадка из сооружений; сгущения – по данным технологических изысканий или аналогичных станций </w:t>
      </w:r>
      <w:bookmarkStart w:id="5" w:name="OCRUncertain2132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водоподготовки,</w:t>
      </w:r>
      <w:bookmarkEnd w:id="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при их отсу</w:t>
      </w:r>
      <w:bookmarkStart w:id="6" w:name="OCRUncertain2133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тс</w:t>
      </w:r>
      <w:bookmarkEnd w:id="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твии по таблице 6.1; последовательной перекачки осветленной воды и сгущенного осадка – от 30 до 40 мин.</w:t>
      </w:r>
    </w:p>
    <w:p w:rsidR="00B67FF8" w:rsidRPr="00F33600" w:rsidRDefault="00B67FF8" w:rsidP="00B67FF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Перекачку осадка допускается предусматривать через несколько циклов сгущения.</w:t>
      </w:r>
    </w:p>
    <w:p w:rsidR="00B67FF8" w:rsidRDefault="00B67FF8" w:rsidP="00B67FF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</w:t>
      </w:r>
      <w:bookmarkStart w:id="7" w:name="OCRUncertain2134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bookmarkEnd w:id="7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шую скорость движ</w:t>
      </w:r>
      <w:bookmarkStart w:id="8" w:name="OCRUncertain2135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bookmarkEnd w:id="8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вращающейся фермы и среднюю влажность осадка после сгущения следует определять технологическими изысканиями, а при их отсутствии по таблице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.1.</w:t>
      </w:r>
    </w:p>
    <w:p w:rsidR="00B67FF8" w:rsidRDefault="00B67FF8" w:rsidP="00B67FF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сгустителя </w:t>
      </w:r>
      <w:bookmarkStart w:id="9" w:name="OCRUncertain2148"/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сr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10" w:name="OCRUncertain2149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1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следует определять по формуле</w:t>
      </w:r>
    </w:p>
    <w:p w:rsidR="00B67FF8" w:rsidRPr="00F33600" w:rsidRDefault="00B67FF8" w:rsidP="00B67FF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7FF8" w:rsidRDefault="00B67FF8" w:rsidP="00B67FF8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05A5">
        <w:rPr>
          <w:rFonts w:ascii="Times New Roman" w:eastAsia="Times New Roman" w:hAnsi="Times New Roman" w:cs="Times New Roman"/>
          <w:position w:val="-16"/>
          <w:sz w:val="28"/>
          <w:szCs w:val="28"/>
          <w:vertAlign w:val="subscript"/>
          <w:lang w:eastAsia="ru-RU"/>
        </w:rPr>
        <w:object w:dxaOrig="206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.75pt;height:20.25pt" o:ole="">
            <v:imagedata r:id="rId4" o:title=""/>
          </v:shape>
          <o:OLEObject Type="Embed" ProgID="Equation.3" ShapeID="_x0000_i1025" DrawAspect="Content" ObjectID="_1705082393" r:id="rId5"/>
        </w:objec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bookmarkStart w:id="11" w:name="OCRUncertain2152"/>
    </w:p>
    <w:p w:rsidR="00B67FF8" w:rsidRPr="00F33600" w:rsidRDefault="00B67FF8" w:rsidP="00B67FF8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7FF8" w:rsidRPr="00F33600" w:rsidRDefault="00B67FF8" w:rsidP="00B67FF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proofErr w:type="gramStart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bookmarkEnd w:id="11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р.о</w:t>
      </w:r>
      <w:proofErr w:type="spellEnd"/>
      <w:proofErr w:type="gram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разбавления осадка при выпуске из сооружений подготовки воды (1,5 – при гидравлическом удалении осадка; 1,2 – при механическом удалении осадка; 2–3 – при напорном смыве осадка);</w:t>
      </w:r>
    </w:p>
    <w:p w:rsidR="00B67FF8" w:rsidRPr="00F33600" w:rsidRDefault="00B67FF8" w:rsidP="00B67FF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336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proofErr w:type="spellStart"/>
      <w:r w:rsidRPr="00F3360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ос.ч</w:t>
      </w:r>
      <w:proofErr w:type="spellEnd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объем осадочной части сооружения подготовки воды, </w:t>
      </w:r>
      <w:bookmarkStart w:id="12" w:name="OCRUncertain2156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3360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End w:id="12"/>
    </w:p>
    <w:p w:rsidR="00B67FF8" w:rsidRDefault="00B67FF8" w:rsidP="00B67FF8">
      <w:pPr>
        <w:keepNext/>
        <w:overflowPunct w:val="0"/>
        <w:autoSpaceDE w:val="0"/>
        <w:autoSpaceDN w:val="0"/>
        <w:adjustRightInd w:val="0"/>
        <w:spacing w:after="0" w:line="240" w:lineRule="auto"/>
        <w:ind w:firstLine="709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7FF8" w:rsidRDefault="00B67FF8" w:rsidP="00B67FF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B67FF8" w:rsidRDefault="00B67FF8" w:rsidP="00B67FF8">
      <w:pPr>
        <w:keepNext/>
        <w:overflowPunct w:val="0"/>
        <w:autoSpaceDE w:val="0"/>
        <w:autoSpaceDN w:val="0"/>
        <w:adjustRightInd w:val="0"/>
        <w:spacing w:after="0" w:line="240" w:lineRule="auto"/>
        <w:ind w:firstLine="709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Таблица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t>.1 – Основные технологические рекомендации для расчета сгустителей</w:t>
      </w:r>
    </w:p>
    <w:p w:rsidR="00B67FF8" w:rsidRPr="00F33600" w:rsidRDefault="00B67FF8" w:rsidP="00B67FF8">
      <w:pPr>
        <w:keepNext/>
        <w:overflowPunct w:val="0"/>
        <w:autoSpaceDE w:val="0"/>
        <w:autoSpaceDN w:val="0"/>
        <w:adjustRightInd w:val="0"/>
        <w:spacing w:after="0" w:line="240" w:lineRule="auto"/>
        <w:ind w:firstLine="709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3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385"/>
        <w:gridCol w:w="2086"/>
        <w:gridCol w:w="2482"/>
        <w:gridCol w:w="2686"/>
      </w:tblGrid>
      <w:tr w:rsidR="00B67FF8" w:rsidRPr="00F33600" w:rsidTr="00302E61">
        <w:trPr>
          <w:jc w:val="center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Характеристика обрабатываемой </w:t>
            </w:r>
          </w:p>
          <w:p w:rsidR="00B67FF8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воды </w:t>
            </w:r>
          </w:p>
          <w:p w:rsidR="00B67FF8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способ </w:t>
            </w:r>
          </w:p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обработки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Наибольшая скорость </w:t>
            </w:r>
          </w:p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движения кон</w:t>
            </w:r>
            <w:bookmarkStart w:id="13" w:name="OCRUncertain2136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bookmarkEnd w:id="13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вращающейся фермы, м/с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Продолжительность цикла сгущения, ч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Средняя </w:t>
            </w:r>
            <w:bookmarkStart w:id="14" w:name="OCRUncertain2138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bookmarkEnd w:id="14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лажность осадка на выпуске из сгустителя, %</w:t>
            </w:r>
          </w:p>
        </w:tc>
      </w:tr>
      <w:tr w:rsidR="00B67FF8" w:rsidRPr="00F33600" w:rsidTr="00302E61">
        <w:trPr>
          <w:jc w:val="center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Маломутные</w:t>
            </w:r>
            <w:proofErr w:type="spellEnd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воды, обрабатываемые </w:t>
            </w:r>
            <w:bookmarkStart w:id="15" w:name="OCRUncertain2139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коа</w:t>
            </w:r>
            <w:bookmarkStart w:id="16" w:name="OCRUncertain2140"/>
            <w:bookmarkEnd w:id="15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гулянтом</w:t>
            </w:r>
            <w:bookmarkEnd w:id="16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0,015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7" w:name="OCRUncertain2141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bookmarkEnd w:id="17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97,7–98,2</w:t>
            </w:r>
          </w:p>
        </w:tc>
      </w:tr>
      <w:tr w:rsidR="00B67FF8" w:rsidRPr="00F33600" w:rsidTr="00302E61">
        <w:trPr>
          <w:jc w:val="center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Воды ср</w:t>
            </w:r>
            <w:bookmarkStart w:id="18" w:name="OCRUncertain2142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bookmarkEnd w:id="18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дней мутности, обрабатываемые коагулянтом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0,025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96,8–97,3</w:t>
            </w:r>
          </w:p>
        </w:tc>
      </w:tr>
      <w:tr w:rsidR="00B67FF8" w:rsidRPr="00F33600" w:rsidTr="00302E61">
        <w:trPr>
          <w:jc w:val="center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Мутные воды, обрабатываемые коагулянтом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85,5–91,8</w:t>
            </w:r>
          </w:p>
        </w:tc>
      </w:tr>
      <w:tr w:rsidR="00B67FF8" w:rsidRPr="00F33600" w:rsidTr="00302E61">
        <w:trPr>
          <w:jc w:val="center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Умягчение при магниевой </w:t>
            </w:r>
            <w:bookmarkStart w:id="19" w:name="OCRUncertain2143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жесткост</w:t>
            </w:r>
            <w:bookmarkEnd w:id="19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до 25 %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0,025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80–82,7</w:t>
            </w:r>
          </w:p>
        </w:tc>
      </w:tr>
      <w:tr w:rsidR="00B67FF8" w:rsidRPr="00F33600" w:rsidTr="00302E61">
        <w:trPr>
          <w:jc w:val="center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Умягчение при магниевой жесткости более 25 %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</w:t>
            </w:r>
            <w:bookmarkStart w:id="20" w:name="OCRUncertain2144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bookmarkEnd w:id="20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87,3–90,9</w:t>
            </w:r>
          </w:p>
        </w:tc>
      </w:tr>
      <w:tr w:rsidR="00B67FF8" w:rsidRPr="00F33600" w:rsidTr="00302E61">
        <w:trPr>
          <w:jc w:val="center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21" w:name="OCRUncertain2145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Обезжелезивание</w:t>
            </w:r>
            <w:bookmarkEnd w:id="21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без применения реагентов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0,015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91,4–93,2</w:t>
            </w:r>
          </w:p>
        </w:tc>
      </w:tr>
      <w:tr w:rsidR="00B67FF8" w:rsidRPr="00F33600" w:rsidTr="00302E61">
        <w:trPr>
          <w:jc w:val="center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22" w:name="OCRUncertain2146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Обезжелезивание</w:t>
            </w:r>
            <w:bookmarkEnd w:id="22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применением реагентов (коагулянта, извести, </w:t>
            </w:r>
            <w:bookmarkStart w:id="23" w:name="OCRUncertain2147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перманганата </w:t>
            </w:r>
            <w:bookmarkEnd w:id="23"/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калия и др.)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0,025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FF8" w:rsidRPr="00F33600" w:rsidRDefault="00B67FF8" w:rsidP="00302E6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36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96,8–97,7</w:t>
            </w:r>
          </w:p>
        </w:tc>
      </w:tr>
    </w:tbl>
    <w:p w:rsidR="00B67FF8" w:rsidRPr="00F33600" w:rsidRDefault="00B67FF8" w:rsidP="00B67FF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7FF8" w:rsidRPr="00F33600" w:rsidRDefault="00B67FF8" w:rsidP="00B67FF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7FF8" w:rsidRPr="00F33600" w:rsidRDefault="00B67FF8" w:rsidP="00B67FF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336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</w:p>
    <w:p w:rsidR="00B67FF8" w:rsidRPr="00371617" w:rsidRDefault="00B67FF8" w:rsidP="00B67F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СПИСОК  ЛИТЕРАТУРЫ</w:t>
      </w:r>
      <w:proofErr w:type="gramEnd"/>
    </w:p>
    <w:p w:rsidR="00B67FF8" w:rsidRPr="00371617" w:rsidRDefault="00B67FF8" w:rsidP="00B67FF8">
      <w:pPr>
        <w:tabs>
          <w:tab w:val="num" w:pos="72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B67FF8" w:rsidRPr="00371617" w:rsidRDefault="00B67FF8" w:rsidP="00B67FF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161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Методика проведения технологического контроля работы сооружений по очистке сточных вод»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Председателя Агентства РК по делам строительства и жилищно-коммунального хозяйства от 29.12</w:t>
      </w:r>
      <w:r w:rsidRPr="00371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2011г. № 539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67FF8" w:rsidRPr="00371617" w:rsidRDefault="00B67FF8" w:rsidP="00B67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 РК 4-01-03-2011 «Водоотведение. Наружные сети и сооружения». Приказ АДС и ЖКХ от 29.12.2011 №539 с 01.05.2012г.</w:t>
      </w:r>
    </w:p>
    <w:p w:rsidR="00B67FF8" w:rsidRPr="00371617" w:rsidRDefault="00B67FF8" w:rsidP="00B67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СНиП РК 4.01-02-2009. «Водоснабжение. Наружные сети и сооружения» Приказ АДС и ЖКХ от 25.12.2009 №269 с 01.04.2010г.</w:t>
      </w:r>
    </w:p>
    <w:p w:rsidR="00B67FF8" w:rsidRPr="00371617" w:rsidRDefault="00B67FF8" w:rsidP="00B67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Осадки сточных вод. Обезвоживание и обеззараживание.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2008. – 376 с.</w:t>
      </w:r>
    </w:p>
    <w:p w:rsidR="00B67FF8" w:rsidRPr="00371617" w:rsidRDefault="00B67FF8" w:rsidP="00B67FF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Обработка осадков сточных вод. - 3-е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1988. – 256 с.: ил.</w:t>
      </w:r>
    </w:p>
    <w:p w:rsidR="00B67FF8" w:rsidRPr="00371617" w:rsidRDefault="00B67FF8" w:rsidP="00B67FF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Журба М. Г., Соколов Л. И., Говорова Ж. М. Водоснабжение. Проектирование систем и сооружений: 2-е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Учебное пособие. – М.: Издательство АСВ, 2004. – 496 с.</w:t>
      </w:r>
    </w:p>
    <w:p w:rsidR="00B67FF8" w:rsidRPr="00371617" w:rsidRDefault="00B67FF8" w:rsidP="00B67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Ласков Ю.М., Воронов Ю.В.,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 Примеры расчетов канализационных сооружений. – М.: Высшая школа, 1991. – 232 с.</w:t>
      </w:r>
    </w:p>
    <w:p w:rsidR="00B67FF8" w:rsidRPr="00371617" w:rsidRDefault="00B67FF8" w:rsidP="00B67FF8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Лапицкая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П., Зуева Л. И., Балаескул Н. М., Кулешова Л. В. Очистка сточных вод (примеры расчетов): (Учеб. пособие для вузов по спец. «Водоснабжение и канализация») – Мн.: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Высш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школа, </w:t>
      </w:r>
      <w:proofErr w:type="gram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1983.-</w:t>
      </w:r>
      <w:proofErr w:type="gram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255 с., ил.</w:t>
      </w:r>
    </w:p>
    <w:p w:rsidR="00B67FF8" w:rsidRPr="00371617" w:rsidRDefault="00B67FF8" w:rsidP="00B67FF8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 И. и др. Лабораторный практикум по водоотведению и очистке сточных вод. – М.: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Строийздат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, 2000. – 272 с.</w:t>
      </w:r>
    </w:p>
    <w:p w:rsidR="00E22B45" w:rsidRDefault="00E22B45"/>
    <w:sectPr w:rsidR="00E22B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A7"/>
    <w:rsid w:val="008741FB"/>
    <w:rsid w:val="00B67FF8"/>
    <w:rsid w:val="00E22B45"/>
    <w:rsid w:val="00EC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2EA6C"/>
  <w15:chartTrackingRefBased/>
  <w15:docId w15:val="{0165BC69-FF47-4F79-A437-838B98A76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7FF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561</Words>
  <Characters>3201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2022-01-30T14:13:00Z</dcterms:created>
  <dcterms:modified xsi:type="dcterms:W3CDTF">2022-01-30T15:13:00Z</dcterms:modified>
</cp:coreProperties>
</file>